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85" w:rsidRDefault="00984305">
      <w:pPr>
        <w:rPr>
          <w:rFonts w:ascii="Bookman Old Style" w:hAnsi="Bookman Old Style"/>
        </w:rPr>
      </w:pPr>
      <w:r>
        <w:rPr>
          <w:rFonts w:ascii="Bookman Old Style" w:hAnsi="Bookman Old Style"/>
        </w:rPr>
        <w:t>Section 106 review meeting, August 4, 2016</w:t>
      </w:r>
    </w:p>
    <w:p w:rsidR="00984305" w:rsidRDefault="00984305">
      <w:pPr>
        <w:rPr>
          <w:rFonts w:ascii="Bookman Old Style" w:hAnsi="Bookman Old Style"/>
        </w:rPr>
      </w:pPr>
    </w:p>
    <w:p w:rsidR="00984305" w:rsidRDefault="00984305">
      <w:pPr>
        <w:rPr>
          <w:rFonts w:ascii="Bookman Old Style" w:hAnsi="Bookman Old Style"/>
        </w:rPr>
      </w:pPr>
      <w:r>
        <w:rPr>
          <w:rFonts w:ascii="Bookman Old Style" w:hAnsi="Bookman Old Style"/>
        </w:rPr>
        <w:t>The DOT has provided a list of properties in the affected area. Some individual properties are listed as “not eligible” because they are part of the Historic District, and are already covered (for purposes of this survey).</w:t>
      </w:r>
    </w:p>
    <w:p w:rsidR="00984305" w:rsidRDefault="00F6408D">
      <w:pPr>
        <w:rPr>
          <w:rFonts w:ascii="Bookman Old Style" w:hAnsi="Bookman Old Style"/>
        </w:rPr>
      </w:pPr>
      <w:r>
        <w:rPr>
          <w:rFonts w:ascii="Bookman Old Style" w:hAnsi="Bookman Old Style"/>
        </w:rPr>
        <w:t>Buildings are considered non-contributing if they do not portray the significance of the district, either because they are too new, or because they have had too much remodeling.</w:t>
      </w:r>
    </w:p>
    <w:p w:rsidR="00F6408D" w:rsidRDefault="00F6408D">
      <w:pPr>
        <w:rPr>
          <w:rFonts w:ascii="Bookman Old Style" w:hAnsi="Bookman Old Style"/>
        </w:rPr>
      </w:pPr>
      <w:r>
        <w:rPr>
          <w:rFonts w:ascii="Bookman Old Style" w:hAnsi="Bookman Old Style"/>
        </w:rPr>
        <w:t xml:space="preserve">The DOT list was compiled by a qualified architectural historian. </w:t>
      </w:r>
    </w:p>
    <w:p w:rsidR="00F6408D" w:rsidRDefault="00F6408D">
      <w:pPr>
        <w:rPr>
          <w:rFonts w:ascii="Bookman Old Style" w:hAnsi="Bookman Old Style"/>
        </w:rPr>
      </w:pPr>
      <w:r>
        <w:rPr>
          <w:rFonts w:ascii="Bookman Old Style" w:hAnsi="Bookman Old Style"/>
        </w:rPr>
        <w:t>The DOT would like to review our town ordinance to see where it conflicts with their guidelines</w:t>
      </w:r>
      <w:r w:rsidR="00D470E4">
        <w:rPr>
          <w:rFonts w:ascii="Bookman Old Style" w:hAnsi="Bookman Old Style"/>
        </w:rPr>
        <w:t xml:space="preserve"> in case they need to reexamine. </w:t>
      </w:r>
    </w:p>
    <w:p w:rsidR="00D470E4" w:rsidRDefault="00D470E4">
      <w:pPr>
        <w:rPr>
          <w:rFonts w:ascii="Bookman Old Style" w:hAnsi="Bookman Old Style"/>
        </w:rPr>
      </w:pPr>
      <w:r>
        <w:rPr>
          <w:rFonts w:ascii="Bookman Old Style" w:hAnsi="Bookman Old Style"/>
        </w:rPr>
        <w:t>For the current survey, the period of significance for contributing buildings is through 1930, and for non-contributing through 1971.</w:t>
      </w:r>
    </w:p>
    <w:p w:rsidR="00D470E4" w:rsidRDefault="00D470E4">
      <w:pPr>
        <w:rPr>
          <w:rFonts w:ascii="Bookman Old Style" w:hAnsi="Bookman Old Style"/>
        </w:rPr>
      </w:pPr>
      <w:r>
        <w:rPr>
          <w:rFonts w:ascii="Bookman Old Style" w:hAnsi="Bookman Old Style"/>
        </w:rPr>
        <w:t xml:space="preserve">Regarding </w:t>
      </w:r>
      <w:proofErr w:type="spellStart"/>
      <w:r>
        <w:rPr>
          <w:rFonts w:ascii="Bookman Old Style" w:hAnsi="Bookman Old Style"/>
        </w:rPr>
        <w:t>Hagget’s</w:t>
      </w:r>
      <w:proofErr w:type="spellEnd"/>
      <w:r>
        <w:rPr>
          <w:rFonts w:ascii="Bookman Old Style" w:hAnsi="Bookman Old Style"/>
        </w:rPr>
        <w:t xml:space="preserve"> garage – the original survey requested more information. It was determined to be non-contributing due to extensive remodeling and alterations to the </w:t>
      </w:r>
      <w:proofErr w:type="spellStart"/>
      <w:r>
        <w:rPr>
          <w:rFonts w:ascii="Bookman Old Style" w:hAnsi="Bookman Old Style"/>
        </w:rPr>
        <w:t>buiding</w:t>
      </w:r>
      <w:proofErr w:type="spellEnd"/>
      <w:r>
        <w:rPr>
          <w:rFonts w:ascii="Bookman Old Style" w:hAnsi="Bookman Old Style"/>
        </w:rPr>
        <w:t>. If the consulting parties can present why we feel the garage is contributing, using the 4 criteria and 7 aspects she presented, they will reconsider the building’s status.</w:t>
      </w:r>
    </w:p>
    <w:p w:rsidR="00D470E4" w:rsidRDefault="00D470E4">
      <w:pPr>
        <w:rPr>
          <w:rFonts w:ascii="Bookman Old Style" w:hAnsi="Bookman Old Style"/>
        </w:rPr>
      </w:pPr>
      <w:r>
        <w:rPr>
          <w:rFonts w:ascii="Bookman Old Style" w:hAnsi="Bookman Old Style"/>
        </w:rPr>
        <w:t>Susan has offered to compare our list to theirs to see if there are other conflicts.</w:t>
      </w:r>
    </w:p>
    <w:p w:rsidR="00D470E4" w:rsidRDefault="00D470E4">
      <w:pPr>
        <w:rPr>
          <w:rFonts w:ascii="Bookman Old Style" w:hAnsi="Bookman Old Style"/>
        </w:rPr>
      </w:pPr>
      <w:r>
        <w:rPr>
          <w:rFonts w:ascii="Bookman Old Style" w:hAnsi="Bookman Old Style"/>
        </w:rPr>
        <w:t>The project is in a transitional phase. In the next few months there will be a “project handoff meeting” where the project will go from planning to development. This next phase is where the design details happen, and where they will determine which properties are affected. The next consulting meeting will happen after that handoff.</w:t>
      </w:r>
    </w:p>
    <w:p w:rsidR="00D470E4" w:rsidRDefault="00D470E4">
      <w:pPr>
        <w:rPr>
          <w:rFonts w:ascii="Bookman Old Style" w:hAnsi="Bookman Old Style"/>
        </w:rPr>
      </w:pPr>
      <w:r>
        <w:rPr>
          <w:rFonts w:ascii="Bookman Old Style" w:hAnsi="Bookman Old Style"/>
        </w:rPr>
        <w:t xml:space="preserve">The Feds have yet to make a decision as to which option they will fund. </w:t>
      </w:r>
    </w:p>
    <w:p w:rsidR="00D470E4" w:rsidRPr="00984305" w:rsidRDefault="00D470E4">
      <w:pPr>
        <w:rPr>
          <w:rFonts w:ascii="Bookman Old Style" w:hAnsi="Bookman Old Style"/>
        </w:rPr>
      </w:pPr>
      <w:r>
        <w:rPr>
          <w:rFonts w:ascii="Bookman Old Style" w:hAnsi="Bookman Old Style"/>
        </w:rPr>
        <w:t>Cassie will send Ben a copy of the Purpose and Needs Statement for distribution.</w:t>
      </w:r>
      <w:bookmarkStart w:id="0" w:name="_GoBack"/>
      <w:bookmarkEnd w:id="0"/>
    </w:p>
    <w:sectPr w:rsidR="00D470E4" w:rsidRPr="0098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05"/>
    <w:rsid w:val="00177509"/>
    <w:rsid w:val="00984305"/>
    <w:rsid w:val="00B57E85"/>
    <w:rsid w:val="00D470E4"/>
    <w:rsid w:val="00F6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2016-08-14T21:57:00Z</dcterms:created>
  <dcterms:modified xsi:type="dcterms:W3CDTF">2016-08-14T22:28:00Z</dcterms:modified>
</cp:coreProperties>
</file>